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29" w:type="dxa"/>
        <w:tblInd w:w="93" w:type="dxa"/>
        <w:tblLook w:val="04A0" w:firstRow="1" w:lastRow="0" w:firstColumn="1" w:lastColumn="0" w:noHBand="0" w:noVBand="1"/>
      </w:tblPr>
      <w:tblGrid>
        <w:gridCol w:w="880"/>
        <w:gridCol w:w="728"/>
        <w:gridCol w:w="4395"/>
        <w:gridCol w:w="2126"/>
      </w:tblGrid>
      <w:tr w:rsidR="00C670B1" w:rsidRPr="00525812" w:rsidTr="00C670B1">
        <w:trPr>
          <w:trHeight w:val="465"/>
        </w:trPr>
        <w:tc>
          <w:tcPr>
            <w:tcW w:w="8129" w:type="dxa"/>
            <w:gridSpan w:val="4"/>
            <w:tcBorders>
              <w:top w:val="nil"/>
              <w:left w:val="nil"/>
              <w:bottom w:val="nil"/>
              <w:right w:val="nil"/>
            </w:tcBorders>
            <w:shd w:val="clear" w:color="auto" w:fill="auto"/>
            <w:vAlign w:val="center"/>
            <w:hideMark/>
          </w:tcPr>
          <w:p w:rsidR="00C670B1" w:rsidRPr="00525812" w:rsidRDefault="00C670B1" w:rsidP="00C93A6F">
            <w:pPr>
              <w:jc w:val="center"/>
              <w:rPr>
                <w:rFonts w:ascii="宋体" w:eastAsia="宋体" w:hAnsi="宋体" w:cs="宋体"/>
                <w:b/>
                <w:bCs/>
                <w:color w:val="000000"/>
                <w:sz w:val="32"/>
                <w:szCs w:val="32"/>
              </w:rPr>
            </w:pPr>
            <w:r w:rsidRPr="00525812">
              <w:rPr>
                <w:rFonts w:ascii="宋体" w:eastAsia="宋体" w:hAnsi="宋体" w:cs="宋体" w:hint="eastAsia"/>
                <w:b/>
                <w:bCs/>
                <w:color w:val="000000"/>
                <w:sz w:val="32"/>
                <w:szCs w:val="32"/>
              </w:rPr>
              <w:t>厦门大学嘉庚学院基本建设工程安全文明施工惩罚标准一览表</w:t>
            </w:r>
          </w:p>
        </w:tc>
      </w:tr>
      <w:tr w:rsidR="00C670B1" w:rsidRPr="00525812" w:rsidTr="00C670B1">
        <w:trPr>
          <w:trHeight w:val="840"/>
        </w:trPr>
        <w:tc>
          <w:tcPr>
            <w:tcW w:w="880" w:type="dxa"/>
            <w:tcBorders>
              <w:top w:val="double" w:sz="6" w:space="0" w:color="auto"/>
              <w:left w:val="double" w:sz="6" w:space="0" w:color="auto"/>
              <w:bottom w:val="single" w:sz="4" w:space="0" w:color="auto"/>
              <w:right w:val="single" w:sz="4" w:space="0" w:color="auto"/>
            </w:tcBorders>
            <w:shd w:val="clear" w:color="auto" w:fill="auto"/>
            <w:vAlign w:val="center"/>
          </w:tcPr>
          <w:p w:rsidR="00C670B1" w:rsidRPr="00525812" w:rsidRDefault="00C670B1" w:rsidP="00C93A6F">
            <w:pPr>
              <w:jc w:val="center"/>
              <w:rPr>
                <w:rFonts w:ascii="宋体" w:eastAsia="宋体" w:hAnsi="宋体" w:cs="宋体" w:hint="eastAsia"/>
                <w:b/>
                <w:bCs/>
                <w:color w:val="000000"/>
              </w:rPr>
            </w:pPr>
            <w:bookmarkStart w:id="0" w:name="_GoBack"/>
          </w:p>
        </w:tc>
        <w:tc>
          <w:tcPr>
            <w:tcW w:w="728" w:type="dxa"/>
            <w:tcBorders>
              <w:top w:val="double" w:sz="6" w:space="0" w:color="auto"/>
              <w:left w:val="nil"/>
              <w:bottom w:val="single" w:sz="4" w:space="0" w:color="auto"/>
              <w:right w:val="single" w:sz="4" w:space="0" w:color="auto"/>
            </w:tcBorders>
            <w:shd w:val="clear" w:color="auto" w:fill="auto"/>
            <w:vAlign w:val="center"/>
          </w:tcPr>
          <w:p w:rsidR="00C670B1" w:rsidRPr="00525812" w:rsidRDefault="00C670B1" w:rsidP="00C93A6F">
            <w:pPr>
              <w:jc w:val="center"/>
              <w:rPr>
                <w:rFonts w:ascii="宋体" w:eastAsia="宋体" w:hAnsi="宋体" w:cs="宋体" w:hint="eastAsia"/>
                <w:b/>
                <w:bCs/>
                <w:color w:val="000000"/>
              </w:rPr>
            </w:pPr>
          </w:p>
        </w:tc>
        <w:tc>
          <w:tcPr>
            <w:tcW w:w="4395" w:type="dxa"/>
            <w:tcBorders>
              <w:top w:val="double" w:sz="6" w:space="0" w:color="auto"/>
              <w:left w:val="nil"/>
              <w:bottom w:val="single" w:sz="4" w:space="0" w:color="auto"/>
              <w:right w:val="single" w:sz="4" w:space="0" w:color="auto"/>
            </w:tcBorders>
            <w:shd w:val="clear" w:color="auto" w:fill="auto"/>
            <w:vAlign w:val="center"/>
          </w:tcPr>
          <w:p w:rsidR="00C670B1" w:rsidRPr="00525812" w:rsidRDefault="00C670B1" w:rsidP="00C93A6F">
            <w:pPr>
              <w:jc w:val="center"/>
              <w:rPr>
                <w:rFonts w:ascii="宋体" w:eastAsia="宋体" w:hAnsi="宋体" w:cs="宋体" w:hint="eastAsia"/>
                <w:b/>
                <w:bCs/>
                <w:color w:val="000000"/>
              </w:rPr>
            </w:pPr>
          </w:p>
        </w:tc>
        <w:tc>
          <w:tcPr>
            <w:tcW w:w="2126" w:type="dxa"/>
            <w:tcBorders>
              <w:top w:val="double" w:sz="6" w:space="0" w:color="auto"/>
              <w:left w:val="single" w:sz="4" w:space="0" w:color="auto"/>
              <w:bottom w:val="single" w:sz="4" w:space="0" w:color="auto"/>
              <w:right w:val="double" w:sz="6" w:space="0" w:color="auto"/>
            </w:tcBorders>
            <w:shd w:val="clear" w:color="auto" w:fill="auto"/>
            <w:vAlign w:val="center"/>
          </w:tcPr>
          <w:p w:rsidR="00C670B1" w:rsidRPr="00525812" w:rsidRDefault="00C670B1" w:rsidP="00C93A6F">
            <w:pPr>
              <w:jc w:val="center"/>
              <w:rPr>
                <w:rFonts w:ascii="宋体" w:eastAsia="宋体" w:hAnsi="宋体" w:cs="宋体" w:hint="eastAsia"/>
                <w:b/>
                <w:bCs/>
                <w:color w:val="000000"/>
              </w:rPr>
            </w:pPr>
          </w:p>
        </w:tc>
      </w:tr>
      <w:bookmarkEnd w:id="0"/>
      <w:tr w:rsidR="00C670B1" w:rsidRPr="00525812" w:rsidTr="00C670B1">
        <w:trPr>
          <w:trHeight w:val="840"/>
        </w:trPr>
        <w:tc>
          <w:tcPr>
            <w:tcW w:w="880"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责任  主体</w:t>
            </w:r>
          </w:p>
        </w:tc>
        <w:tc>
          <w:tcPr>
            <w:tcW w:w="728" w:type="dxa"/>
            <w:tcBorders>
              <w:top w:val="double" w:sz="6" w:space="0" w:color="auto"/>
              <w:left w:val="nil"/>
              <w:bottom w:val="single" w:sz="4" w:space="0" w:color="auto"/>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行为  类型</w:t>
            </w:r>
          </w:p>
        </w:tc>
        <w:tc>
          <w:tcPr>
            <w:tcW w:w="4395" w:type="dxa"/>
            <w:tcBorders>
              <w:top w:val="double" w:sz="6" w:space="0" w:color="auto"/>
              <w:left w:val="nil"/>
              <w:bottom w:val="single" w:sz="4" w:space="0" w:color="auto"/>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行为内容</w:t>
            </w:r>
          </w:p>
        </w:tc>
        <w:tc>
          <w:tcPr>
            <w:tcW w:w="2126" w:type="dxa"/>
            <w:tcBorders>
              <w:top w:val="double" w:sz="6" w:space="0" w:color="auto"/>
              <w:left w:val="single" w:sz="4" w:space="0" w:color="auto"/>
              <w:bottom w:val="single" w:sz="4" w:space="0" w:color="auto"/>
              <w:right w:val="double" w:sz="6"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惩罚措施及标准</w:t>
            </w:r>
          </w:p>
        </w:tc>
      </w:tr>
      <w:tr w:rsidR="00C670B1" w:rsidRPr="00525812" w:rsidTr="00C670B1">
        <w:trPr>
          <w:trHeight w:val="930"/>
        </w:trPr>
        <w:tc>
          <w:tcPr>
            <w:tcW w:w="880" w:type="dxa"/>
            <w:vMerge w:val="restart"/>
            <w:tcBorders>
              <w:top w:val="nil"/>
              <w:left w:val="double" w:sz="6" w:space="0" w:color="auto"/>
              <w:bottom w:val="single" w:sz="4" w:space="0" w:color="000000"/>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1.施工单位</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1.1违反文明施工规定</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 xml:space="preserve">1.1.1 未办理临时施工用水用电手续，或未按规定缴纳水电费，或私自接引临时用水用电 </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责令限期整改，并扣减工程款2000元/次，且须补缴所欠水电费</w:t>
            </w:r>
          </w:p>
        </w:tc>
      </w:tr>
      <w:tr w:rsidR="00C670B1" w:rsidRPr="00525812" w:rsidTr="00C670B1">
        <w:trPr>
          <w:trHeight w:val="78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1.1.2 施工车辆在校园内违停乱放，或高速行驶，或高声鸣笛</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责令当场整改，并扣减工程款200元/次</w:t>
            </w:r>
          </w:p>
        </w:tc>
      </w:tr>
      <w:tr w:rsidR="00C670B1" w:rsidRPr="00525812" w:rsidTr="00C670B1">
        <w:trPr>
          <w:trHeight w:val="72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1.1.3 施工现场未按规范设置“五牌一图”</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责令限期整改，逾期未整改的，扣减工程款1000元/次</w:t>
            </w:r>
          </w:p>
        </w:tc>
      </w:tr>
      <w:tr w:rsidR="00C670B1" w:rsidRPr="00525812" w:rsidTr="00C670B1">
        <w:trPr>
          <w:trHeight w:val="87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1.1.4 施工现场未按要求设置围挡</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责令限期整改，逾期未整改的，扣减工程款</w:t>
            </w:r>
            <w:r w:rsidRPr="00525812">
              <w:rPr>
                <w:rFonts w:ascii="宋体" w:eastAsia="宋体" w:hAnsi="宋体" w:cs="宋体" w:hint="eastAsia"/>
                <w:color w:val="000000"/>
              </w:rPr>
              <w:br/>
              <w:t>2000元/次</w:t>
            </w:r>
          </w:p>
        </w:tc>
      </w:tr>
      <w:tr w:rsidR="00C670B1" w:rsidRPr="00525812" w:rsidTr="00C670B1">
        <w:trPr>
          <w:trHeight w:val="975"/>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1.1.5 施工现场未按要求采取防粉尘、防噪音、</w:t>
            </w:r>
            <w:r w:rsidRPr="00525812">
              <w:rPr>
                <w:rFonts w:ascii="宋体" w:eastAsia="宋体" w:hAnsi="宋体" w:cs="宋体" w:hint="eastAsia"/>
                <w:color w:val="000000"/>
              </w:rPr>
              <w:br/>
              <w:t>防灯光措施，且对学校教学科研活动和师生日</w:t>
            </w:r>
            <w:r w:rsidRPr="00525812">
              <w:rPr>
                <w:rFonts w:ascii="宋体" w:eastAsia="宋体" w:hAnsi="宋体" w:cs="宋体" w:hint="eastAsia"/>
                <w:color w:val="000000"/>
              </w:rPr>
              <w:br/>
              <w:t>常生活造成不良影响</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责令限期整改，并扣减2000元以上5000元以下工程款</w:t>
            </w:r>
          </w:p>
        </w:tc>
      </w:tr>
      <w:tr w:rsidR="00C670B1" w:rsidRPr="00525812" w:rsidTr="00C670B1">
        <w:trPr>
          <w:trHeight w:val="765"/>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1.1.6 施工现场的材料、机械及设备无序堆放，施工现场杂乱不堪</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责令限期整改，逾期未整改的，扣减工程款1000元/次</w:t>
            </w:r>
          </w:p>
        </w:tc>
      </w:tr>
      <w:tr w:rsidR="00C670B1" w:rsidRPr="00525812" w:rsidTr="00C670B1">
        <w:trPr>
          <w:trHeight w:val="72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1.1.7 施工现场的建筑废料和垃圾未按要求堆</w:t>
            </w:r>
            <w:r w:rsidRPr="00525812">
              <w:rPr>
                <w:rFonts w:ascii="宋体" w:eastAsia="宋体" w:hAnsi="宋体" w:cs="宋体" w:hint="eastAsia"/>
                <w:color w:val="000000"/>
              </w:rPr>
              <w:br/>
              <w:t>放、收集或清理</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责令限期整改，并扣减工程款500元/次</w:t>
            </w:r>
          </w:p>
        </w:tc>
      </w:tr>
      <w:tr w:rsidR="00C670B1" w:rsidRPr="00525812" w:rsidTr="00C670B1">
        <w:trPr>
          <w:trHeight w:val="93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1.1.8 施工人员进入施工现场时未着统一服装，</w:t>
            </w:r>
            <w:r w:rsidRPr="00525812">
              <w:rPr>
                <w:rFonts w:ascii="宋体" w:eastAsia="宋体" w:hAnsi="宋体" w:cs="宋体" w:hint="eastAsia"/>
                <w:color w:val="000000"/>
              </w:rPr>
              <w:br/>
              <w:t xml:space="preserve">或未佩戴安全帽，或有穿拖鞋、打赤膊等不文明行为 </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责令当场整改，并扣减工程款200元/人/次</w:t>
            </w:r>
          </w:p>
        </w:tc>
      </w:tr>
      <w:tr w:rsidR="00C670B1" w:rsidRPr="00525812" w:rsidTr="00C670B1">
        <w:trPr>
          <w:trHeight w:val="102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1.1.9 施工人员在施工现场饮酒或在非吸烟区吸烟，或者在学校内发生打架斗殴、赌博等不文明行为，或者非值班人员在施工现场留宿</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责令当场整改，并扣减工程款500元/人/次</w:t>
            </w:r>
          </w:p>
        </w:tc>
      </w:tr>
      <w:tr w:rsidR="00C670B1" w:rsidRPr="00525812" w:rsidTr="00C670B1">
        <w:trPr>
          <w:trHeight w:val="72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1.1.10 学校有考试安排且事先已经发放停工通</w:t>
            </w:r>
            <w:r w:rsidRPr="00525812">
              <w:rPr>
                <w:rFonts w:ascii="宋体" w:eastAsia="宋体" w:hAnsi="宋体" w:cs="宋体" w:hint="eastAsia"/>
                <w:color w:val="000000"/>
              </w:rPr>
              <w:br/>
              <w:t>知，考试期间仍在考场周边进行噪音施工</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责令当场整改，并扣减工程款5000元/次</w:t>
            </w:r>
          </w:p>
        </w:tc>
      </w:tr>
      <w:tr w:rsidR="00C670B1" w:rsidRPr="00525812" w:rsidTr="00C670B1">
        <w:trPr>
          <w:trHeight w:val="1065"/>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1.1.11 休息时间在学生宿舍、教工住宅区域进行噪音施工；或确需连续作业的项目未经资产与后勤管理部审批通过或未提前三日设置显著标牌告知师生住户</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责令当场整改，并扣减工程款2000元/次</w:t>
            </w:r>
          </w:p>
        </w:tc>
      </w:tr>
      <w:tr w:rsidR="00C670B1" w:rsidRPr="00525812" w:rsidTr="00C670B1">
        <w:trPr>
          <w:trHeight w:val="90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1.1.12 施工过程中未对原有成品设施设备及周边景观绿化采取保护措施，或者直接在地面搅 拌水泥砂浆</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责令限期整改，并扣减工程款2000元/次</w:t>
            </w:r>
          </w:p>
        </w:tc>
      </w:tr>
      <w:tr w:rsidR="00C670B1" w:rsidRPr="00525812" w:rsidTr="00C670B1">
        <w:trPr>
          <w:trHeight w:val="84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1.1.13 施工结束后未清理、清洗施工现场，或工程验收后未及时清除返工产生的垃圾</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责令限期整改，逾期未整改的，扣减工程款2000元/次</w:t>
            </w:r>
          </w:p>
        </w:tc>
      </w:tr>
      <w:tr w:rsidR="00C670B1" w:rsidRPr="00525812" w:rsidTr="00C670B1">
        <w:trPr>
          <w:trHeight w:val="705"/>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1.2违反安全施工规定</w:t>
            </w: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1.2.1 施工现场未按要求配备安全帽、安全带、安全网或消防器材，或者配备的安全用具</w:t>
            </w:r>
            <w:proofErr w:type="gramStart"/>
            <w:r w:rsidRPr="00525812">
              <w:rPr>
                <w:rFonts w:ascii="宋体" w:eastAsia="宋体" w:hAnsi="宋体" w:cs="宋体" w:hint="eastAsia"/>
                <w:color w:val="000000"/>
              </w:rPr>
              <w:t>不</w:t>
            </w:r>
            <w:proofErr w:type="gramEnd"/>
            <w:r w:rsidRPr="00525812">
              <w:rPr>
                <w:rFonts w:ascii="宋体" w:eastAsia="宋体" w:hAnsi="宋体" w:cs="宋体" w:hint="eastAsia"/>
                <w:color w:val="000000"/>
              </w:rPr>
              <w:t xml:space="preserve">可用 </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责令限期整改，并扣减工程款 1000 元/次</w:t>
            </w:r>
          </w:p>
        </w:tc>
      </w:tr>
      <w:tr w:rsidR="00C670B1" w:rsidRPr="00525812" w:rsidTr="00C670B1">
        <w:trPr>
          <w:trHeight w:val="81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nil"/>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1.2.2 易燃易爆及危险品未按规定单独放置管理，或施工现场的重大危险源未设立警示标志</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责令限期整改，并扣减工程款 1000 元/次</w:t>
            </w:r>
          </w:p>
        </w:tc>
      </w:tr>
      <w:tr w:rsidR="00C670B1" w:rsidRPr="00525812" w:rsidTr="00C670B1">
        <w:trPr>
          <w:trHeight w:val="60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nil"/>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1.2.3 施工现场临时用电设施未按规范安装使用</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责令限期整改，并扣减工程款 2000 元/次</w:t>
            </w:r>
          </w:p>
        </w:tc>
      </w:tr>
      <w:tr w:rsidR="00C670B1" w:rsidRPr="00525812" w:rsidTr="00C670B1">
        <w:trPr>
          <w:trHeight w:val="45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nil"/>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1.2.4 在具有火灾、爆炸危险的区域吸烟、使用明火</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责令当场整改，并扣减工程款5000元/次</w:t>
            </w:r>
          </w:p>
        </w:tc>
      </w:tr>
      <w:tr w:rsidR="00C670B1" w:rsidRPr="00525812" w:rsidTr="00C670B1">
        <w:trPr>
          <w:trHeight w:val="45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nil"/>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1.2.5 未经保卫</w:t>
            </w:r>
            <w:r>
              <w:rPr>
                <w:rFonts w:ascii="宋体" w:eastAsia="宋体" w:hAnsi="宋体" w:cs="宋体" w:hint="eastAsia"/>
                <w:color w:val="000000"/>
              </w:rPr>
              <w:t>部</w:t>
            </w:r>
            <w:r w:rsidRPr="00525812">
              <w:rPr>
                <w:rFonts w:ascii="宋体" w:eastAsia="宋体" w:hAnsi="宋体" w:cs="宋体" w:hint="eastAsia"/>
                <w:color w:val="000000"/>
              </w:rPr>
              <w:t>审批直接进行明火作业</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责令限期整改，并扣减工程款5000元/次</w:t>
            </w:r>
          </w:p>
        </w:tc>
      </w:tr>
      <w:tr w:rsidR="00C670B1" w:rsidRPr="00525812" w:rsidTr="00C670B1">
        <w:trPr>
          <w:trHeight w:val="78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nil"/>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1.2.6 施工现场有明火作业的，未明确划分明火作业区，或未配备足够的消防设施</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责令限期整改，并扣减工程款2000元/次</w:t>
            </w:r>
          </w:p>
        </w:tc>
      </w:tr>
      <w:tr w:rsidR="00C670B1" w:rsidRPr="00525812" w:rsidTr="00C670B1">
        <w:trPr>
          <w:trHeight w:val="45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nil"/>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1.2.7 特种设备作业人员未持证上岗</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责令当场整改，并扣减工程款5000元/人</w:t>
            </w:r>
          </w:p>
        </w:tc>
      </w:tr>
      <w:tr w:rsidR="00C670B1" w:rsidRPr="00525812" w:rsidTr="00C670B1">
        <w:trPr>
          <w:trHeight w:val="735"/>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vMerge/>
            <w:tcBorders>
              <w:top w:val="nil"/>
              <w:left w:val="single" w:sz="4" w:space="0" w:color="auto"/>
              <w:bottom w:val="single" w:sz="4" w:space="0" w:color="auto"/>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1.2.8 高空作业未采取规定的防护措施，或者高空抛物</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责令当场整改，并扣减2000元以上5000元以下工程款</w:t>
            </w:r>
          </w:p>
        </w:tc>
      </w:tr>
      <w:tr w:rsidR="00C670B1" w:rsidRPr="00525812" w:rsidTr="00C670B1">
        <w:trPr>
          <w:trHeight w:val="705"/>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tcBorders>
              <w:top w:val="nil"/>
              <w:left w:val="single" w:sz="4" w:space="0" w:color="auto"/>
              <w:bottom w:val="single" w:sz="4" w:space="0" w:color="auto"/>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1.3其他</w:t>
            </w: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其他违反国家有关安全文明施工的法律法规、规范要求或违反我校管理规定的行为</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视具体情况予以处罚</w:t>
            </w:r>
          </w:p>
        </w:tc>
      </w:tr>
      <w:tr w:rsidR="00C670B1" w:rsidRPr="00525812" w:rsidTr="00C670B1">
        <w:trPr>
          <w:trHeight w:val="615"/>
        </w:trPr>
        <w:tc>
          <w:tcPr>
            <w:tcW w:w="880" w:type="dxa"/>
            <w:vMerge w:val="restart"/>
            <w:tcBorders>
              <w:top w:val="nil"/>
              <w:left w:val="double" w:sz="6" w:space="0" w:color="auto"/>
              <w:bottom w:val="single" w:sz="4" w:space="0" w:color="000000"/>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2.监理单位</w:t>
            </w:r>
          </w:p>
        </w:tc>
        <w:tc>
          <w:tcPr>
            <w:tcW w:w="728" w:type="dxa"/>
            <w:tcBorders>
              <w:top w:val="nil"/>
              <w:left w:val="single" w:sz="4" w:space="0" w:color="auto"/>
              <w:bottom w:val="single" w:sz="4" w:space="0" w:color="auto"/>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2.1履职不力</w:t>
            </w: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对危险性或重要性较大的工程部位和施工环节未实施旁站监理，或者未做好旁站监理记录</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扣减监理费5000元/次；造成严重后果的，视情况加大罚款力度</w:t>
            </w:r>
          </w:p>
        </w:tc>
      </w:tr>
      <w:tr w:rsidR="00C670B1" w:rsidRPr="00525812" w:rsidTr="00C670B1">
        <w:trPr>
          <w:trHeight w:val="930"/>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tcBorders>
              <w:top w:val="nil"/>
              <w:left w:val="single" w:sz="4" w:space="0" w:color="auto"/>
              <w:bottom w:val="single" w:sz="4" w:space="0" w:color="auto"/>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2.2监管不力</w:t>
            </w: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未能及时发现施工单位违反安全文明施工管理规定的行为，或者发现后未能及时通知甲方现场管理人员或上报资产与后勤管理部</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扣减监理费200元以上1000元以下/次；造成</w:t>
            </w:r>
            <w:r w:rsidRPr="00525812">
              <w:rPr>
                <w:rFonts w:ascii="宋体" w:eastAsia="宋体" w:hAnsi="宋体" w:cs="宋体" w:hint="eastAsia"/>
                <w:color w:val="000000"/>
              </w:rPr>
              <w:br/>
              <w:t>严重后果的，视情况加大处罚力度</w:t>
            </w:r>
          </w:p>
        </w:tc>
      </w:tr>
      <w:tr w:rsidR="00C670B1" w:rsidRPr="00525812" w:rsidTr="00C670B1">
        <w:trPr>
          <w:trHeight w:val="705"/>
        </w:trPr>
        <w:tc>
          <w:tcPr>
            <w:tcW w:w="880" w:type="dxa"/>
            <w:vMerge/>
            <w:tcBorders>
              <w:top w:val="nil"/>
              <w:left w:val="double" w:sz="6" w:space="0" w:color="auto"/>
              <w:bottom w:val="single" w:sz="4" w:space="0" w:color="000000"/>
              <w:right w:val="single" w:sz="4" w:space="0" w:color="auto"/>
            </w:tcBorders>
            <w:vAlign w:val="center"/>
            <w:hideMark/>
          </w:tcPr>
          <w:p w:rsidR="00C670B1" w:rsidRPr="00525812" w:rsidRDefault="00C670B1" w:rsidP="00C93A6F">
            <w:pPr>
              <w:rPr>
                <w:rFonts w:ascii="宋体" w:eastAsia="宋体" w:hAnsi="宋体" w:cs="宋体"/>
                <w:b/>
                <w:bCs/>
                <w:color w:val="000000"/>
              </w:rPr>
            </w:pPr>
          </w:p>
        </w:tc>
        <w:tc>
          <w:tcPr>
            <w:tcW w:w="728" w:type="dxa"/>
            <w:tcBorders>
              <w:top w:val="nil"/>
              <w:left w:val="single" w:sz="4" w:space="0" w:color="auto"/>
              <w:bottom w:val="single" w:sz="4" w:space="0" w:color="auto"/>
              <w:right w:val="single" w:sz="4" w:space="0" w:color="auto"/>
            </w:tcBorders>
            <w:shd w:val="clear" w:color="auto" w:fill="auto"/>
            <w:vAlign w:val="center"/>
            <w:hideMark/>
          </w:tcPr>
          <w:p w:rsidR="00C670B1" w:rsidRPr="00525812" w:rsidRDefault="00C670B1" w:rsidP="00C93A6F">
            <w:pPr>
              <w:jc w:val="center"/>
              <w:rPr>
                <w:rFonts w:ascii="宋体" w:eastAsia="宋体" w:hAnsi="宋体" w:cs="宋体"/>
                <w:b/>
                <w:bCs/>
                <w:color w:val="000000"/>
              </w:rPr>
            </w:pPr>
            <w:r w:rsidRPr="00525812">
              <w:rPr>
                <w:rFonts w:ascii="宋体" w:eastAsia="宋体" w:hAnsi="宋体" w:cs="宋体" w:hint="eastAsia"/>
                <w:b/>
                <w:bCs/>
                <w:color w:val="000000"/>
              </w:rPr>
              <w:t>2.3其他</w:t>
            </w:r>
          </w:p>
        </w:tc>
        <w:tc>
          <w:tcPr>
            <w:tcW w:w="4395" w:type="dxa"/>
            <w:tcBorders>
              <w:top w:val="nil"/>
              <w:left w:val="nil"/>
              <w:bottom w:val="single" w:sz="4" w:space="0" w:color="auto"/>
              <w:right w:val="single" w:sz="4"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其他违反国家有关安全文明施工的法律法规、规范要求或违反我校管理规定的行为</w:t>
            </w:r>
          </w:p>
        </w:tc>
        <w:tc>
          <w:tcPr>
            <w:tcW w:w="2126" w:type="dxa"/>
            <w:tcBorders>
              <w:top w:val="nil"/>
              <w:left w:val="nil"/>
              <w:bottom w:val="single" w:sz="4" w:space="0" w:color="auto"/>
              <w:right w:val="double" w:sz="6" w:space="0" w:color="auto"/>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视具体情况予以处罚</w:t>
            </w:r>
          </w:p>
        </w:tc>
      </w:tr>
      <w:tr w:rsidR="00C670B1" w:rsidRPr="00525812" w:rsidTr="00C670B1">
        <w:trPr>
          <w:trHeight w:val="930"/>
        </w:trPr>
        <w:tc>
          <w:tcPr>
            <w:tcW w:w="8129" w:type="dxa"/>
            <w:gridSpan w:val="4"/>
            <w:tcBorders>
              <w:top w:val="single" w:sz="4" w:space="0" w:color="auto"/>
              <w:left w:val="double" w:sz="6" w:space="0" w:color="auto"/>
              <w:bottom w:val="double" w:sz="6" w:space="0" w:color="auto"/>
              <w:right w:val="double" w:sz="6" w:space="0" w:color="000000"/>
            </w:tcBorders>
            <w:shd w:val="clear" w:color="auto" w:fill="auto"/>
            <w:vAlign w:val="center"/>
            <w:hideMark/>
          </w:tcPr>
          <w:p w:rsidR="00C670B1" w:rsidRPr="00525812" w:rsidRDefault="00C670B1" w:rsidP="00C93A6F">
            <w:pPr>
              <w:rPr>
                <w:rFonts w:ascii="宋体" w:eastAsia="宋体" w:hAnsi="宋体" w:cs="宋体"/>
                <w:color w:val="000000"/>
              </w:rPr>
            </w:pPr>
            <w:r w:rsidRPr="00525812">
              <w:rPr>
                <w:rFonts w:ascii="宋体" w:eastAsia="宋体" w:hAnsi="宋体" w:cs="宋体" w:hint="eastAsia"/>
                <w:color w:val="000000"/>
              </w:rPr>
              <w:t>注：具体惩罚内容以资产与后勤管理部出具的处罚通知书（单）为准</w:t>
            </w:r>
          </w:p>
        </w:tc>
      </w:tr>
    </w:tbl>
    <w:p w:rsidR="00D35AE6" w:rsidRPr="00C670B1" w:rsidRDefault="00C670B1" w:rsidP="00C670B1">
      <w:pPr>
        <w:tabs>
          <w:tab w:val="left" w:pos="6663"/>
        </w:tabs>
        <w:rPr>
          <w:rFonts w:hint="eastAsia"/>
        </w:rPr>
      </w:pPr>
    </w:p>
    <w:sectPr w:rsidR="00D35AE6" w:rsidRPr="00C670B1" w:rsidSect="00C67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B1"/>
    <w:rsid w:val="003A5C1E"/>
    <w:rsid w:val="004B3178"/>
    <w:rsid w:val="00C6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7206"/>
  <w15:chartTrackingRefBased/>
  <w15:docId w15:val="{307F08E2-EB84-4F16-A757-3F89D1BD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0B1"/>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2020-09-22T02:25:00Z</dcterms:created>
  <dcterms:modified xsi:type="dcterms:W3CDTF">2020-09-22T02:28:00Z</dcterms:modified>
</cp:coreProperties>
</file>