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9896F">
      <w:pPr>
        <w:spacing w:line="360" w:lineRule="auto"/>
        <w:jc w:val="left"/>
        <w:rPr>
          <w:sz w:val="24"/>
        </w:rPr>
      </w:pPr>
      <w:r>
        <w:rPr>
          <w:rFonts w:hint="eastAsia"/>
          <w:sz w:val="24"/>
        </w:rPr>
        <w:t>报价单位：</w:t>
      </w:r>
      <w:r>
        <w:rPr>
          <w:rFonts w:hint="eastAsia"/>
          <w:sz w:val="24"/>
          <w:u w:val="single"/>
        </w:rPr>
        <w:t xml:space="preserve">                                  （加盖公章）</w:t>
      </w:r>
    </w:p>
    <w:p w14:paraId="206A577E">
      <w:pPr>
        <w:spacing w:line="360" w:lineRule="auto"/>
        <w:jc w:val="left"/>
        <w:rPr>
          <w:rFonts w:hint="default"/>
          <w:sz w:val="24"/>
          <w:lang w:val="en-US"/>
        </w:rPr>
      </w:pPr>
      <w:r>
        <w:rPr>
          <w:rFonts w:hint="eastAsia"/>
          <w:sz w:val="24"/>
          <w:lang w:val="en-US" w:eastAsia="zh-CN"/>
        </w:rPr>
        <w:t>采购</w:t>
      </w:r>
      <w:r>
        <w:rPr>
          <w:rFonts w:hint="eastAsia"/>
          <w:sz w:val="24"/>
        </w:rPr>
        <w:t>项目：</w:t>
      </w:r>
      <w:r>
        <w:rPr>
          <w:rFonts w:hint="eastAsia"/>
          <w:sz w:val="24"/>
          <w:lang w:val="en-US" w:eastAsia="zh-CN"/>
        </w:rPr>
        <w:t>管理学院服务器采购项目</w:t>
      </w:r>
    </w:p>
    <w:p w14:paraId="2AAB5378">
      <w:pPr>
        <w:spacing w:line="360" w:lineRule="auto"/>
        <w:jc w:val="left"/>
        <w:rPr>
          <w:sz w:val="24"/>
        </w:rPr>
      </w:pPr>
      <w:r>
        <w:rPr>
          <w:rFonts w:hint="eastAsia"/>
          <w:sz w:val="24"/>
        </w:rPr>
        <w:t>询价单位：厦门大学嘉庚学院</w:t>
      </w:r>
    </w:p>
    <w:p w14:paraId="09ADDC24">
      <w:pPr>
        <w:spacing w:line="360" w:lineRule="auto"/>
        <w:jc w:val="left"/>
        <w:rPr>
          <w:sz w:val="24"/>
        </w:rPr>
      </w:pPr>
      <w:r>
        <w:rPr>
          <w:rFonts w:hint="eastAsia"/>
          <w:sz w:val="24"/>
        </w:rPr>
        <w:t>联系方式：</w:t>
      </w:r>
      <w:r>
        <w:rPr>
          <w:rFonts w:hint="eastAsia"/>
          <w:sz w:val="24"/>
          <w:lang w:val="en-US" w:eastAsia="zh-CN"/>
        </w:rPr>
        <w:t>蔡</w:t>
      </w:r>
      <w:r>
        <w:rPr>
          <w:rFonts w:hint="eastAsia"/>
          <w:sz w:val="24"/>
        </w:rPr>
        <w:t>老师</w:t>
      </w:r>
      <w:r>
        <w:rPr>
          <w:rFonts w:hint="eastAsia"/>
          <w:sz w:val="24"/>
          <w:lang w:val="en-US" w:eastAsia="zh-CN"/>
        </w:rPr>
        <w:t>6288886</w:t>
      </w:r>
      <w:r>
        <w:rPr>
          <w:rFonts w:hint="eastAsia"/>
          <w:sz w:val="24"/>
        </w:rPr>
        <w:t>、蒋老师6288526</w:t>
      </w:r>
    </w:p>
    <w:p w14:paraId="6DE317BC">
      <w:pPr>
        <w:widowControl/>
        <w:spacing w:line="360" w:lineRule="atLeast"/>
        <w:jc w:val="left"/>
        <w:rPr>
          <w:rFonts w:ascii="Verdana" w:hAnsi="Verdana" w:cs="宋体"/>
          <w:color w:val="000000"/>
          <w:kern w:val="0"/>
          <w:sz w:val="20"/>
          <w:szCs w:val="20"/>
        </w:rPr>
      </w:pPr>
      <w:r>
        <w:rPr>
          <w:rFonts w:hint="eastAsia"/>
          <w:sz w:val="24"/>
        </w:rPr>
        <w:t>邮箱：</w:t>
      </w:r>
      <w:r>
        <w:fldChar w:fldCharType="begin"/>
      </w:r>
      <w:r>
        <w:instrText xml:space="preserve"> HYPERLINK "mailto:jiangtk@xujc.com、wnye@xujc.com" </w:instrText>
      </w:r>
      <w:r>
        <w:fldChar w:fldCharType="separate"/>
      </w:r>
      <w:r>
        <w:rPr>
          <w:rFonts w:hint="eastAsia"/>
          <w:lang w:val="en-US" w:eastAsia="zh-CN"/>
        </w:rPr>
        <w:t>cailiying</w:t>
      </w:r>
      <w:r>
        <w:rPr>
          <w:rStyle w:val="18"/>
          <w:sz w:val="24"/>
        </w:rPr>
        <w:t>@xujc.com</w:t>
      </w:r>
      <w:r>
        <w:rPr>
          <w:rStyle w:val="18"/>
          <w:rFonts w:hint="eastAsia"/>
          <w:sz w:val="24"/>
        </w:rPr>
        <w:fldChar w:fldCharType="end"/>
      </w:r>
      <w:r>
        <w:rPr>
          <w:rFonts w:hint="eastAsia"/>
          <w:sz w:val="24"/>
        </w:rPr>
        <w:t>、</w:t>
      </w:r>
      <w:r>
        <w:rPr>
          <w:rFonts w:ascii="Verdana" w:hAnsi="Verdana" w:cs="宋体"/>
          <w:color w:val="000000"/>
          <w:kern w:val="0"/>
          <w:sz w:val="20"/>
          <w:szCs w:val="20"/>
        </w:rPr>
        <w:t>jiangjc</w:t>
      </w:r>
      <w:r>
        <w:rPr>
          <w:rFonts w:hint="eastAsia"/>
          <w:sz w:val="24"/>
        </w:rPr>
        <w:t xml:space="preserve"> @xujc.com</w:t>
      </w:r>
    </w:p>
    <w:p w14:paraId="3C126C27">
      <w:pPr>
        <w:spacing w:line="360" w:lineRule="auto"/>
        <w:jc w:val="left"/>
        <w:rPr>
          <w:sz w:val="24"/>
        </w:rPr>
      </w:pPr>
      <w:r>
        <w:rPr>
          <w:rFonts w:hint="eastAsia"/>
          <w:sz w:val="24"/>
        </w:rPr>
        <w:t>传真：0596-6288224</w:t>
      </w:r>
    </w:p>
    <w:p w14:paraId="0C8B3607">
      <w:pPr>
        <w:spacing w:line="360" w:lineRule="auto"/>
        <w:jc w:val="left"/>
        <w:rPr>
          <w:rFonts w:hint="eastAsia" w:eastAsia="宋体"/>
          <w:sz w:val="24"/>
          <w:lang w:eastAsia="zh-CN"/>
        </w:rPr>
      </w:pPr>
      <w:r>
        <w:rPr>
          <w:sz w:val="24"/>
        </w:rPr>
        <w:t>通信地址：福建省招商局漳州开发区厦门大学漳州校区</w:t>
      </w:r>
      <w:r>
        <w:rPr>
          <w:rFonts w:hint="eastAsia"/>
          <w:sz w:val="24"/>
          <w:lang w:eastAsia="zh-CN"/>
        </w:rPr>
        <w:t>；</w:t>
      </w:r>
      <w:r>
        <w:rPr>
          <w:sz w:val="24"/>
        </w:rPr>
        <w:t>邮政编码：363123</w:t>
      </w:r>
      <w:r>
        <w:rPr>
          <w:rFonts w:hint="eastAsia"/>
          <w:sz w:val="24"/>
          <w:lang w:eastAsia="zh-CN"/>
        </w:rPr>
        <w:t>；</w:t>
      </w:r>
    </w:p>
    <w:p w14:paraId="7070CA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sz w:val="24"/>
          <w:lang w:val="en-US" w:eastAsia="zh-CN"/>
        </w:rPr>
      </w:pPr>
      <w:r>
        <w:rPr>
          <w:rFonts w:hint="eastAsia"/>
          <w:sz w:val="24"/>
        </w:rPr>
        <w:t>总金额：大写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rFonts w:hint="eastAsia"/>
          <w:sz w:val="24"/>
        </w:rPr>
        <w:t>；小写</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eastAsia="zh-CN"/>
        </w:rPr>
        <w:t>；</w:t>
      </w:r>
    </w:p>
    <w:p w14:paraId="124381AE">
      <w:pPr>
        <w:keepNext w:val="0"/>
        <w:keepLines w:val="0"/>
        <w:pageBreakBefore w:val="0"/>
        <w:widowControl/>
        <w:kinsoku/>
        <w:wordWrap/>
        <w:overflowPunct/>
        <w:topLinePunct w:val="0"/>
        <w:autoSpaceDE/>
        <w:autoSpaceDN/>
        <w:bidi w:val="0"/>
        <w:adjustRightInd/>
        <w:snapToGrid/>
        <w:spacing w:line="360" w:lineRule="auto"/>
        <w:jc w:val="left"/>
        <w:textAlignment w:val="auto"/>
        <w:rPr>
          <w:sz w:val="24"/>
        </w:rPr>
      </w:pPr>
      <w:r>
        <w:rPr>
          <w:rFonts w:hint="eastAsia"/>
          <w:sz w:val="24"/>
        </w:rPr>
        <w:t>设备供货期：</w:t>
      </w:r>
      <w:r>
        <w:rPr>
          <w:rFonts w:hint="eastAsia"/>
          <w:sz w:val="24"/>
          <w:u w:val="single"/>
        </w:rPr>
        <w:t xml:space="preserve"> 合同签订后</w:t>
      </w:r>
      <w:r>
        <w:rPr>
          <w:rFonts w:hint="eastAsia"/>
          <w:sz w:val="24"/>
          <w:u w:val="single"/>
          <w:lang w:val="en-US" w:eastAsia="zh-CN"/>
        </w:rPr>
        <w:t>20个日历日</w:t>
      </w:r>
      <w:r>
        <w:rPr>
          <w:rFonts w:hint="eastAsia"/>
          <w:sz w:val="24"/>
          <w:u w:val="single"/>
        </w:rPr>
        <w:t>内</w:t>
      </w:r>
      <w:r>
        <w:rPr>
          <w:rFonts w:hint="eastAsia"/>
          <w:sz w:val="24"/>
        </w:rPr>
        <w:t>；设备保修期：</w:t>
      </w:r>
      <w:r>
        <w:rPr>
          <w:rFonts w:hint="eastAsia"/>
          <w:sz w:val="24"/>
          <w:u w:val="single"/>
        </w:rPr>
        <w:t xml:space="preserve"> </w:t>
      </w:r>
      <w:r>
        <w:rPr>
          <w:sz w:val="24"/>
          <w:u w:val="single"/>
        </w:rPr>
        <w:t xml:space="preserve">                  </w:t>
      </w:r>
      <w:r>
        <w:rPr>
          <w:rFonts w:hint="eastAsia"/>
          <w:sz w:val="24"/>
          <w:u w:val="single"/>
        </w:rPr>
        <w:t xml:space="preserve"> ；</w:t>
      </w:r>
    </w:p>
    <w:p w14:paraId="3AF552A8">
      <w:pPr>
        <w:keepNext w:val="0"/>
        <w:keepLines w:val="0"/>
        <w:pageBreakBefore w:val="0"/>
        <w:widowControl/>
        <w:kinsoku/>
        <w:wordWrap/>
        <w:overflowPunct/>
        <w:topLinePunct w:val="0"/>
        <w:autoSpaceDE/>
        <w:autoSpaceDN/>
        <w:bidi w:val="0"/>
        <w:adjustRightInd/>
        <w:snapToGrid/>
        <w:spacing w:line="360" w:lineRule="auto"/>
        <w:jc w:val="left"/>
        <w:textAlignment w:val="auto"/>
        <w:rPr>
          <w:sz w:val="24"/>
          <w:u w:val="single"/>
        </w:rPr>
      </w:pPr>
      <w:r>
        <w:rPr>
          <w:rFonts w:hint="eastAsia"/>
          <w:sz w:val="24"/>
        </w:rPr>
        <w:t>报价人：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（手签）</w:t>
      </w:r>
      <w:r>
        <w:rPr>
          <w:rFonts w:hint="eastAsia"/>
          <w:sz w:val="24"/>
        </w:rPr>
        <w:t>，联系电话：</w:t>
      </w:r>
      <w:r>
        <w:rPr>
          <w:sz w:val="24"/>
          <w:u w:val="single"/>
        </w:rPr>
        <w:t xml:space="preserve">   </w:t>
      </w:r>
      <w:r>
        <w:rPr>
          <w:rFonts w:hint="eastAsia"/>
          <w:sz w:val="24"/>
          <w:u w:val="single"/>
          <w:lang w:val="en-US" w:eastAsia="zh-CN"/>
        </w:rPr>
        <w:t xml:space="preserve">               ；                </w:t>
      </w:r>
      <w:r>
        <w:rPr>
          <w:rFonts w:hint="eastAsia"/>
          <w:sz w:val="24"/>
          <w:u w:val="single"/>
        </w:rPr>
        <w:t xml:space="preserve">      </w:t>
      </w:r>
      <w:r>
        <w:rPr>
          <w:sz w:val="24"/>
          <w:u w:val="single"/>
        </w:rPr>
        <w:t xml:space="preserve">  </w:t>
      </w:r>
      <w:r>
        <w:rPr>
          <w:rFonts w:hint="eastAsia"/>
          <w:sz w:val="24"/>
          <w:u w:val="single"/>
        </w:rPr>
        <w:t xml:space="preserve">   </w:t>
      </w:r>
    </w:p>
    <w:p w14:paraId="53A45ADF">
      <w:pPr>
        <w:numPr>
          <w:ilvl w:val="0"/>
          <w:numId w:val="1"/>
        </w:numPr>
        <w:tabs>
          <w:tab w:val="left" w:pos="567"/>
        </w:tabs>
        <w:spacing w:line="360" w:lineRule="auto"/>
        <w:rPr>
          <w:rFonts w:ascii="宋体" w:hAnsi="宋体" w:cs="宋体"/>
          <w:kern w:val="0"/>
          <w:sz w:val="24"/>
        </w:rPr>
      </w:pPr>
      <w:r>
        <w:rPr>
          <w:rFonts w:hint="eastAsia" w:ascii="宋体" w:hAnsi="宋体" w:cs="宋体"/>
          <w:kern w:val="0"/>
          <w:sz w:val="24"/>
        </w:rPr>
        <w:t>采购项目基本要求及数量：</w:t>
      </w:r>
    </w:p>
    <w:tbl>
      <w:tblPr>
        <w:tblStyle w:val="15"/>
        <w:tblpPr w:leftFromText="180" w:rightFromText="180" w:vertAnchor="text" w:tblpXSpec="center" w:tblpY="1"/>
        <w:tblOverlap w:val="never"/>
        <w:tblW w:w="58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6187"/>
        <w:gridCol w:w="584"/>
        <w:gridCol w:w="775"/>
        <w:gridCol w:w="958"/>
      </w:tblGrid>
      <w:tr w14:paraId="09E8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9" w:hRule="atLeast"/>
          <w:jc w:val="center"/>
        </w:trPr>
        <w:tc>
          <w:tcPr>
            <w:tcW w:w="698" w:type="pct"/>
            <w:tcBorders>
              <w:top w:val="single" w:color="000000" w:sz="4" w:space="0"/>
              <w:left w:val="single" w:color="000000" w:sz="4" w:space="0"/>
              <w:bottom w:val="single" w:color="000000" w:sz="4" w:space="0"/>
              <w:right w:val="single" w:color="000000" w:sz="4" w:space="0"/>
            </w:tcBorders>
            <w:vAlign w:val="center"/>
          </w:tcPr>
          <w:p w14:paraId="633EFCEB">
            <w:pPr>
              <w:jc w:val="center"/>
              <w:rPr>
                <w:rFonts w:ascii="宋体" w:hAnsi="宋体"/>
                <w:b/>
                <w:bCs/>
                <w:sz w:val="24"/>
                <w:szCs w:val="24"/>
              </w:rPr>
            </w:pPr>
            <w:r>
              <w:rPr>
                <w:rFonts w:hint="eastAsia" w:ascii="宋体" w:hAnsi="宋体"/>
                <w:b/>
                <w:bCs/>
                <w:sz w:val="24"/>
                <w:szCs w:val="24"/>
              </w:rPr>
              <w:t>序号</w:t>
            </w:r>
          </w:p>
        </w:tc>
        <w:tc>
          <w:tcPr>
            <w:tcW w:w="3129" w:type="pct"/>
            <w:tcBorders>
              <w:top w:val="single" w:color="auto" w:sz="4" w:space="0"/>
              <w:left w:val="single" w:color="000000" w:sz="4" w:space="0"/>
              <w:bottom w:val="single" w:color="auto" w:sz="4" w:space="0"/>
              <w:right w:val="single" w:color="000000" w:sz="4" w:space="0"/>
            </w:tcBorders>
            <w:vAlign w:val="center"/>
          </w:tcPr>
          <w:p w14:paraId="0279B065">
            <w:pPr>
              <w:jc w:val="center"/>
              <w:rPr>
                <w:rFonts w:ascii="宋体" w:hAnsi="宋体"/>
                <w:b/>
                <w:bCs/>
                <w:sz w:val="24"/>
                <w:szCs w:val="24"/>
              </w:rPr>
            </w:pPr>
            <w:r>
              <w:rPr>
                <w:rFonts w:hint="eastAsia" w:ascii="宋体" w:hAnsi="宋体" w:cs="宋体"/>
                <w:b/>
                <w:bCs/>
                <w:color w:val="000000"/>
                <w:kern w:val="0"/>
                <w:sz w:val="24"/>
                <w:szCs w:val="24"/>
              </w:rPr>
              <w:t>规格型号及技术参数</w:t>
            </w:r>
          </w:p>
        </w:tc>
        <w:tc>
          <w:tcPr>
            <w:tcW w:w="295" w:type="pct"/>
            <w:tcBorders>
              <w:top w:val="single" w:color="000000" w:sz="4" w:space="0"/>
              <w:left w:val="single" w:color="000000" w:sz="4" w:space="0"/>
              <w:bottom w:val="single" w:color="000000" w:sz="4" w:space="0"/>
              <w:right w:val="single" w:color="000000" w:sz="4" w:space="0"/>
            </w:tcBorders>
            <w:vAlign w:val="center"/>
          </w:tcPr>
          <w:p w14:paraId="1170D12F">
            <w:pPr>
              <w:jc w:val="center"/>
              <w:rPr>
                <w:rFonts w:ascii="宋体" w:hAnsi="宋体"/>
                <w:b/>
                <w:bCs/>
                <w:sz w:val="24"/>
                <w:szCs w:val="24"/>
              </w:rPr>
            </w:pPr>
            <w:r>
              <w:rPr>
                <w:rFonts w:hint="eastAsia" w:ascii="宋体" w:hAnsi="宋体"/>
                <w:b/>
                <w:bCs/>
                <w:sz w:val="24"/>
                <w:szCs w:val="24"/>
              </w:rPr>
              <w:t>数量</w:t>
            </w:r>
          </w:p>
        </w:tc>
        <w:tc>
          <w:tcPr>
            <w:tcW w:w="391" w:type="pct"/>
            <w:tcBorders>
              <w:top w:val="single" w:color="000000" w:sz="4" w:space="0"/>
              <w:left w:val="single" w:color="000000" w:sz="4" w:space="0"/>
              <w:bottom w:val="single" w:color="000000" w:sz="4" w:space="0"/>
              <w:right w:val="single" w:color="000000" w:sz="4" w:space="0"/>
            </w:tcBorders>
            <w:vAlign w:val="center"/>
          </w:tcPr>
          <w:p w14:paraId="3015BE49">
            <w:pPr>
              <w:jc w:val="center"/>
              <w:rPr>
                <w:rFonts w:ascii="宋体" w:hAnsi="宋体"/>
                <w:b/>
                <w:bCs/>
                <w:sz w:val="24"/>
                <w:szCs w:val="24"/>
              </w:rPr>
            </w:pPr>
            <w:r>
              <w:rPr>
                <w:rFonts w:hint="eastAsia" w:ascii="宋体" w:hAnsi="宋体"/>
                <w:b/>
                <w:bCs/>
                <w:sz w:val="24"/>
                <w:szCs w:val="24"/>
              </w:rPr>
              <w:t>单价</w:t>
            </w:r>
          </w:p>
        </w:tc>
        <w:tc>
          <w:tcPr>
            <w:tcW w:w="484" w:type="pct"/>
            <w:tcBorders>
              <w:top w:val="single" w:color="000000" w:sz="4" w:space="0"/>
              <w:left w:val="single" w:color="000000" w:sz="4" w:space="0"/>
              <w:bottom w:val="single" w:color="000000" w:sz="4" w:space="0"/>
              <w:right w:val="single" w:color="000000" w:sz="4" w:space="0"/>
            </w:tcBorders>
            <w:vAlign w:val="center"/>
          </w:tcPr>
          <w:p w14:paraId="4D31C891">
            <w:pPr>
              <w:jc w:val="center"/>
              <w:rPr>
                <w:rFonts w:ascii="宋体" w:hAnsi="宋体"/>
                <w:b/>
                <w:bCs/>
                <w:sz w:val="24"/>
                <w:szCs w:val="24"/>
              </w:rPr>
            </w:pPr>
            <w:r>
              <w:rPr>
                <w:rFonts w:hint="eastAsia" w:ascii="宋体" w:hAnsi="宋体"/>
                <w:b/>
                <w:bCs/>
                <w:sz w:val="24"/>
                <w:szCs w:val="24"/>
              </w:rPr>
              <w:t>合计</w:t>
            </w:r>
          </w:p>
        </w:tc>
      </w:tr>
      <w:tr w14:paraId="1F8A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4" w:hRule="atLeast"/>
          <w:jc w:val="center"/>
        </w:trPr>
        <w:tc>
          <w:tcPr>
            <w:tcW w:w="698" w:type="pct"/>
            <w:tcBorders>
              <w:top w:val="single" w:color="000000" w:sz="4" w:space="0"/>
              <w:left w:val="single" w:color="000000" w:sz="4" w:space="0"/>
              <w:bottom w:val="single" w:color="000000" w:sz="4" w:space="0"/>
              <w:right w:val="single" w:color="000000" w:sz="4" w:space="0"/>
            </w:tcBorders>
            <w:vAlign w:val="center"/>
          </w:tcPr>
          <w:p w14:paraId="0F48C616">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服务器</w:t>
            </w:r>
          </w:p>
          <w:p w14:paraId="2005AF2F">
            <w:pPr>
              <w:jc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机架式</w:t>
            </w:r>
            <w:r>
              <w:rPr>
                <w:rFonts w:hint="eastAsia" w:ascii="宋体" w:hAnsi="宋体" w:eastAsia="宋体" w:cs="宋体"/>
                <w:sz w:val="21"/>
                <w:szCs w:val="21"/>
                <w:lang w:eastAsia="zh-CN"/>
              </w:rPr>
              <w:t>）</w:t>
            </w:r>
          </w:p>
        </w:tc>
        <w:tc>
          <w:tcPr>
            <w:tcW w:w="3129" w:type="pct"/>
            <w:tcBorders>
              <w:top w:val="single" w:color="auto" w:sz="4" w:space="0"/>
              <w:left w:val="single" w:color="000000" w:sz="4" w:space="0"/>
              <w:bottom w:val="single" w:color="auto" w:sz="4" w:space="0"/>
              <w:right w:val="single" w:color="000000" w:sz="4" w:space="0"/>
            </w:tcBorders>
          </w:tcPr>
          <w:p w14:paraId="47AD0B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1.参考</w:t>
            </w:r>
            <w:r>
              <w:rPr>
                <w:rFonts w:hint="eastAsia" w:ascii="宋体" w:hAnsi="宋体" w:eastAsia="宋体" w:cs="宋体"/>
                <w:sz w:val="21"/>
                <w:szCs w:val="21"/>
              </w:rPr>
              <w:t>品牌</w:t>
            </w:r>
            <w:r>
              <w:rPr>
                <w:rFonts w:hint="eastAsia" w:ascii="宋体" w:hAnsi="宋体" w:eastAsia="宋体" w:cs="宋体"/>
                <w:sz w:val="21"/>
                <w:szCs w:val="21"/>
                <w:lang w:eastAsia="zh-CN"/>
              </w:rPr>
              <w:t>：</w:t>
            </w:r>
            <w:r>
              <w:rPr>
                <w:rFonts w:hint="eastAsia" w:ascii="宋体" w:hAnsi="宋体" w:eastAsia="宋体" w:cs="宋体"/>
                <w:sz w:val="21"/>
                <w:szCs w:val="21"/>
              </w:rPr>
              <w:t>联想、戴尔、浪潮</w:t>
            </w:r>
            <w:r>
              <w:rPr>
                <w:rFonts w:hint="eastAsia" w:ascii="宋体" w:hAnsi="宋体" w:cs="宋体"/>
                <w:sz w:val="21"/>
                <w:szCs w:val="21"/>
                <w:lang w:eastAsia="zh-CN"/>
              </w:rPr>
              <w:t>、</w:t>
            </w:r>
            <w:r>
              <w:rPr>
                <w:rFonts w:hint="eastAsia" w:ascii="宋体" w:hAnsi="宋体" w:cs="宋体"/>
                <w:sz w:val="21"/>
                <w:szCs w:val="21"/>
                <w:lang w:val="en-US" w:eastAsia="zh-CN"/>
              </w:rPr>
              <w:t>超聚变</w:t>
            </w:r>
          </w:p>
          <w:p w14:paraId="4B5DD9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CPU</w:t>
            </w:r>
            <w:r>
              <w:rPr>
                <w:rFonts w:hint="eastAsia" w:ascii="宋体" w:hAnsi="宋体" w:eastAsia="宋体" w:cs="宋体"/>
                <w:sz w:val="21"/>
                <w:szCs w:val="21"/>
                <w:lang w:eastAsia="zh-CN"/>
              </w:rPr>
              <w:t>：</w:t>
            </w:r>
            <w:r>
              <w:rPr>
                <w:rFonts w:hint="eastAsia" w:ascii="宋体" w:hAnsi="宋体" w:eastAsia="宋体" w:cs="宋体"/>
                <w:sz w:val="21"/>
                <w:szCs w:val="21"/>
              </w:rPr>
              <w:t>Intel</w:t>
            </w:r>
            <w:r>
              <w:rPr>
                <w:rFonts w:hint="eastAsia" w:ascii="宋体" w:hAnsi="宋体" w:eastAsia="宋体" w:cs="宋体"/>
                <w:color w:val="auto"/>
                <w:sz w:val="21"/>
                <w:szCs w:val="21"/>
              </w:rPr>
              <w:t>至强金牌*2，</w:t>
            </w:r>
            <w:r>
              <w:rPr>
                <w:rFonts w:hint="eastAsia" w:ascii="宋体" w:hAnsi="宋体" w:eastAsia="宋体" w:cs="宋体"/>
                <w:color w:val="auto"/>
                <w:sz w:val="21"/>
                <w:szCs w:val="21"/>
                <w:lang w:val="en-US" w:eastAsia="zh-CN"/>
              </w:rPr>
              <w:t>每颗</w:t>
            </w:r>
            <w:r>
              <w:rPr>
                <w:rFonts w:hint="eastAsia" w:ascii="宋体" w:hAnsi="宋体" w:eastAsia="宋体" w:cs="宋体"/>
                <w:color w:val="auto"/>
                <w:sz w:val="21"/>
                <w:szCs w:val="21"/>
              </w:rPr>
              <w:t>≥32核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每颗</w:t>
            </w:r>
            <w:r>
              <w:rPr>
                <w:rFonts w:hint="eastAsia" w:ascii="宋体" w:hAnsi="宋体" w:eastAsia="宋体" w:cs="宋体"/>
                <w:color w:val="auto"/>
                <w:sz w:val="21"/>
                <w:szCs w:val="21"/>
              </w:rPr>
              <w:t>≥2.0GHz</w:t>
            </w:r>
          </w:p>
          <w:p w14:paraId="5B4DF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内存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256</w:t>
            </w:r>
            <w:r>
              <w:rPr>
                <w:rFonts w:hint="eastAsia" w:ascii="宋体" w:hAnsi="宋体" w:eastAsia="宋体" w:cs="宋体"/>
                <w:color w:val="auto"/>
                <w:sz w:val="21"/>
                <w:szCs w:val="21"/>
              </w:rPr>
              <w:t>GB DDR4 3200MHz RECC，单条不低于32GB</w:t>
            </w:r>
          </w:p>
          <w:p w14:paraId="58E26D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硬盘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≥3块3.5" 4TB 7.2K SAS 企业级硬盘</w:t>
            </w:r>
          </w:p>
          <w:p w14:paraId="50AB2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网卡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≥4*1000M网口</w:t>
            </w:r>
          </w:p>
          <w:p w14:paraId="03850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电源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2个≥750W热插拔电源</w:t>
            </w:r>
          </w:p>
          <w:p w14:paraId="2BB67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阵列卡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支持SAS/SATA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支持RAID0/1/5/10</w:t>
            </w:r>
          </w:p>
          <w:p w14:paraId="4B53BA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接口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前置≥2个USB，后置≥4个USB，1个VGA</w:t>
            </w:r>
          </w:p>
          <w:p w14:paraId="7C90D0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操作系统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支持Windows/Linux/其他</w:t>
            </w:r>
          </w:p>
          <w:p w14:paraId="5D741B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质保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整机原厂保修5年，免费上门和配件更换服务</w:t>
            </w:r>
          </w:p>
          <w:p w14:paraId="43321AB8">
            <w:pPr>
              <w:spacing w:line="300" w:lineRule="exact"/>
              <w:rPr>
                <w:rFonts w:hint="eastAsia" w:ascii="宋体" w:hAnsi="宋体" w:eastAsia="宋体" w:cs="宋体"/>
                <w:bCs/>
                <w:color w:val="000000"/>
                <w:kern w:val="0"/>
                <w:sz w:val="21"/>
                <w:szCs w:val="21"/>
              </w:rPr>
            </w:pPr>
            <w:r>
              <w:rPr>
                <w:rFonts w:hint="eastAsia" w:ascii="宋体" w:hAnsi="宋体" w:eastAsia="宋体" w:cs="宋体"/>
                <w:color w:val="auto"/>
                <w:sz w:val="21"/>
                <w:szCs w:val="21"/>
                <w:lang w:val="en-US" w:eastAsia="zh-CN"/>
              </w:rPr>
              <w:t>11.需要佩带导轨，协助安装和系统调试</w:t>
            </w:r>
          </w:p>
        </w:tc>
        <w:tc>
          <w:tcPr>
            <w:tcW w:w="295" w:type="pct"/>
            <w:tcBorders>
              <w:top w:val="single" w:color="000000" w:sz="4" w:space="0"/>
              <w:left w:val="single" w:color="000000" w:sz="4" w:space="0"/>
              <w:bottom w:val="single" w:color="000000" w:sz="4" w:space="0"/>
              <w:right w:val="single" w:color="000000" w:sz="4" w:space="0"/>
            </w:tcBorders>
            <w:vAlign w:val="center"/>
          </w:tcPr>
          <w:p w14:paraId="0F8E9813">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台</w:t>
            </w:r>
          </w:p>
        </w:tc>
        <w:tc>
          <w:tcPr>
            <w:tcW w:w="391" w:type="pct"/>
            <w:tcBorders>
              <w:top w:val="single" w:color="000000" w:sz="4" w:space="0"/>
              <w:left w:val="single" w:color="000000" w:sz="4" w:space="0"/>
              <w:bottom w:val="single" w:color="000000" w:sz="4" w:space="0"/>
              <w:right w:val="single" w:color="000000" w:sz="4" w:space="0"/>
            </w:tcBorders>
            <w:vAlign w:val="center"/>
          </w:tcPr>
          <w:p w14:paraId="6C6CCEB7">
            <w:pPr>
              <w:jc w:val="center"/>
              <w:rPr>
                <w:rFonts w:hint="eastAsia" w:ascii="宋体" w:hAnsi="宋体" w:eastAsia="宋体" w:cs="宋体"/>
                <w:sz w:val="21"/>
                <w:szCs w:val="21"/>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25433D11">
            <w:pPr>
              <w:jc w:val="center"/>
              <w:rPr>
                <w:rFonts w:hint="eastAsia" w:ascii="宋体" w:hAnsi="宋体" w:eastAsia="宋体" w:cs="宋体"/>
                <w:sz w:val="21"/>
                <w:szCs w:val="21"/>
              </w:rPr>
            </w:pPr>
          </w:p>
        </w:tc>
      </w:tr>
      <w:tr w14:paraId="37E6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4123" w:type="pct"/>
            <w:gridSpan w:val="3"/>
            <w:tcBorders>
              <w:top w:val="single" w:color="000000" w:sz="4" w:space="0"/>
              <w:left w:val="single" w:color="000000" w:sz="4" w:space="0"/>
              <w:bottom w:val="single" w:color="000000" w:sz="4" w:space="0"/>
              <w:right w:val="single" w:color="000000" w:sz="4" w:space="0"/>
            </w:tcBorders>
            <w:vAlign w:val="center"/>
          </w:tcPr>
          <w:p w14:paraId="000C1489">
            <w:pPr>
              <w:jc w:val="center"/>
              <w:rPr>
                <w:rFonts w:hint="eastAsia" w:ascii="宋体" w:hAnsi="宋体" w:eastAsia="宋体" w:cs="宋体"/>
                <w:sz w:val="21"/>
                <w:szCs w:val="21"/>
              </w:rPr>
            </w:pPr>
            <w:r>
              <w:rPr>
                <w:rFonts w:hint="eastAsia" w:ascii="宋体" w:hAnsi="宋体" w:eastAsia="宋体" w:cs="宋体"/>
                <w:sz w:val="21"/>
                <w:szCs w:val="21"/>
                <w:lang w:val="en-US" w:eastAsia="zh-CN"/>
              </w:rPr>
              <w:t>总价</w:t>
            </w:r>
            <w:r>
              <w:rPr>
                <w:rFonts w:hint="eastAsia" w:ascii="宋体" w:hAnsi="宋体" w:eastAsia="宋体" w:cs="宋体"/>
                <w:sz w:val="21"/>
                <w:szCs w:val="21"/>
              </w:rPr>
              <w:t>：</w:t>
            </w:r>
          </w:p>
        </w:tc>
        <w:tc>
          <w:tcPr>
            <w:tcW w:w="876" w:type="pct"/>
            <w:gridSpan w:val="2"/>
            <w:tcBorders>
              <w:top w:val="single" w:color="000000" w:sz="4" w:space="0"/>
              <w:left w:val="single" w:color="000000" w:sz="4" w:space="0"/>
              <w:bottom w:val="single" w:color="000000" w:sz="4" w:space="0"/>
              <w:right w:val="single" w:color="000000" w:sz="4" w:space="0"/>
            </w:tcBorders>
            <w:vAlign w:val="center"/>
          </w:tcPr>
          <w:p w14:paraId="4452CF42">
            <w:pPr>
              <w:jc w:val="center"/>
              <w:rPr>
                <w:rFonts w:hint="eastAsia" w:ascii="宋体" w:hAnsi="宋体" w:eastAsia="宋体" w:cs="宋体"/>
                <w:sz w:val="21"/>
                <w:szCs w:val="21"/>
              </w:rPr>
            </w:pPr>
          </w:p>
        </w:tc>
      </w:tr>
    </w:tbl>
    <w:p w14:paraId="5FBEB905">
      <w:pPr>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360" w:lineRule="auto"/>
        <w:textAlignment w:val="auto"/>
        <w:rPr>
          <w:rFonts w:ascii="宋体" w:hAnsi="宋体" w:cs="宋体"/>
          <w:b/>
          <w:kern w:val="0"/>
          <w:sz w:val="24"/>
        </w:rPr>
      </w:pPr>
      <w:r>
        <w:rPr>
          <w:rFonts w:hint="eastAsia"/>
          <w:sz w:val="24"/>
        </w:rPr>
        <w:t>报价注意事项：</w:t>
      </w:r>
    </w:p>
    <w:p w14:paraId="32CCD58D">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color w:val="000000"/>
          <w:kern w:val="0"/>
          <w:sz w:val="24"/>
        </w:rPr>
      </w:pPr>
      <w:r>
        <w:rPr>
          <w:rFonts w:hint="eastAsia" w:cs="宋体"/>
          <w:kern w:val="0"/>
          <w:sz w:val="24"/>
        </w:rPr>
        <w:t>本次报价</w:t>
      </w:r>
      <w:r>
        <w:rPr>
          <w:rFonts w:hint="eastAsia" w:cs="宋体"/>
          <w:color w:val="000000"/>
          <w:kern w:val="0"/>
          <w:sz w:val="24"/>
        </w:rPr>
        <w:t>方式为</w:t>
      </w:r>
      <w:r>
        <w:rPr>
          <w:rFonts w:hint="eastAsia" w:cs="宋体"/>
          <w:b/>
          <w:color w:val="FF0000"/>
          <w:kern w:val="0"/>
          <w:sz w:val="24"/>
        </w:rPr>
        <w:t>现场报价</w:t>
      </w:r>
      <w:r>
        <w:rPr>
          <w:rFonts w:hint="eastAsia" w:cs="宋体"/>
          <w:color w:val="000000"/>
          <w:kern w:val="0"/>
          <w:sz w:val="24"/>
        </w:rPr>
        <w:t>，即由有相应经营资质的公司，将盖章签字的报价资料（</w:t>
      </w:r>
      <w:r>
        <w:rPr>
          <w:rFonts w:hint="eastAsia" w:cs="宋体"/>
          <w:color w:val="FF0000"/>
          <w:kern w:val="0"/>
          <w:sz w:val="24"/>
        </w:rPr>
        <w:t>数量：一式</w:t>
      </w:r>
      <w:r>
        <w:rPr>
          <w:rFonts w:hint="eastAsia" w:cs="宋体"/>
          <w:color w:val="FF0000"/>
          <w:kern w:val="0"/>
          <w:sz w:val="24"/>
          <w:lang w:val="en-US" w:eastAsia="zh-CN"/>
        </w:rPr>
        <w:t>两</w:t>
      </w:r>
      <w:r>
        <w:rPr>
          <w:rFonts w:hint="eastAsia" w:cs="宋体"/>
          <w:color w:val="FF0000"/>
          <w:kern w:val="0"/>
          <w:sz w:val="24"/>
        </w:rPr>
        <w:t>份，每页均需加盖公章</w:t>
      </w:r>
      <w:r>
        <w:rPr>
          <w:rFonts w:hint="eastAsia" w:cs="宋体"/>
          <w:color w:val="000000"/>
          <w:kern w:val="0"/>
          <w:sz w:val="24"/>
        </w:rPr>
        <w:t>）密封于档案袋或信封中，封口处加盖公章。再派出报价代表将密封的报价资料，于</w:t>
      </w:r>
      <w:r>
        <w:rPr>
          <w:rFonts w:hint="eastAsia" w:cs="宋体"/>
          <w:b/>
          <w:color w:val="FF0000"/>
          <w:kern w:val="0"/>
          <w:sz w:val="24"/>
        </w:rPr>
        <w:t>2025年</w:t>
      </w:r>
      <w:r>
        <w:rPr>
          <w:rFonts w:hint="eastAsia" w:cs="宋体"/>
          <w:b/>
          <w:color w:val="FF0000"/>
          <w:kern w:val="0"/>
          <w:sz w:val="24"/>
          <w:lang w:val="en-US" w:eastAsia="zh-CN"/>
        </w:rPr>
        <w:t>12</w:t>
      </w:r>
      <w:r>
        <w:rPr>
          <w:rFonts w:hint="eastAsia" w:cs="宋体"/>
          <w:b/>
          <w:color w:val="FF0000"/>
          <w:kern w:val="0"/>
          <w:sz w:val="24"/>
        </w:rPr>
        <w:t>月</w:t>
      </w:r>
      <w:r>
        <w:rPr>
          <w:rFonts w:hint="eastAsia" w:cs="宋体"/>
          <w:b/>
          <w:color w:val="FF0000"/>
          <w:kern w:val="0"/>
          <w:sz w:val="24"/>
          <w:lang w:val="en-US" w:eastAsia="zh-CN"/>
        </w:rPr>
        <w:t>2</w:t>
      </w:r>
      <w:r>
        <w:rPr>
          <w:rFonts w:hint="eastAsia" w:cs="宋体"/>
          <w:b/>
          <w:color w:val="FF0000"/>
          <w:kern w:val="0"/>
          <w:sz w:val="24"/>
        </w:rPr>
        <w:t>日</w:t>
      </w:r>
      <w:r>
        <w:rPr>
          <w:rFonts w:hint="eastAsia" w:cs="宋体"/>
          <w:b/>
          <w:color w:val="FF0000"/>
          <w:kern w:val="0"/>
          <w:sz w:val="24"/>
          <w:lang w:val="en-US" w:eastAsia="zh-CN"/>
        </w:rPr>
        <w:t>9</w:t>
      </w:r>
      <w:r>
        <w:rPr>
          <w:rFonts w:hint="eastAsia" w:cs="宋体"/>
          <w:b/>
          <w:color w:val="FF0000"/>
          <w:kern w:val="0"/>
          <w:sz w:val="24"/>
        </w:rPr>
        <w:t>：</w:t>
      </w:r>
      <w:r>
        <w:rPr>
          <w:rFonts w:hint="eastAsia" w:cs="宋体"/>
          <w:b/>
          <w:color w:val="FF0000"/>
          <w:kern w:val="0"/>
          <w:sz w:val="24"/>
          <w:lang w:val="en-US" w:eastAsia="zh-CN"/>
        </w:rPr>
        <w:t>3</w:t>
      </w:r>
      <w:r>
        <w:rPr>
          <w:rFonts w:cs="宋体"/>
          <w:b/>
          <w:color w:val="FF0000"/>
          <w:kern w:val="0"/>
          <w:sz w:val="24"/>
        </w:rPr>
        <w:t>0</w:t>
      </w:r>
      <w:r>
        <w:rPr>
          <w:rFonts w:hint="eastAsia" w:cs="宋体"/>
          <w:kern w:val="0"/>
          <w:sz w:val="24"/>
        </w:rPr>
        <w:t>前，现场递交至：</w:t>
      </w:r>
      <w:r>
        <w:rPr>
          <w:rFonts w:cs="宋体"/>
          <w:kern w:val="0"/>
          <w:sz w:val="24"/>
        </w:rPr>
        <w:t>福建漳州招商局经济技术开发区</w:t>
      </w:r>
      <w:r>
        <w:rPr>
          <w:rFonts w:hint="eastAsia" w:ascii="宋体" w:hAnsi="宋体"/>
          <w:sz w:val="24"/>
        </w:rPr>
        <w:t>厦门大学嘉庚学院主楼群3号楼90</w:t>
      </w:r>
      <w:r>
        <w:rPr>
          <w:rFonts w:hint="eastAsia" w:ascii="宋体" w:hAnsi="宋体"/>
          <w:sz w:val="24"/>
          <w:lang w:val="en-US" w:eastAsia="zh-CN"/>
        </w:rPr>
        <w:t>9</w:t>
      </w:r>
      <w:r>
        <w:rPr>
          <w:rFonts w:hint="eastAsia" w:cs="宋体"/>
          <w:kern w:val="0"/>
          <w:sz w:val="24"/>
        </w:rPr>
        <w:t>会</w:t>
      </w:r>
      <w:r>
        <w:rPr>
          <w:rFonts w:hint="eastAsia" w:cs="宋体"/>
          <w:color w:val="000000"/>
          <w:kern w:val="0"/>
          <w:sz w:val="24"/>
        </w:rPr>
        <w:t>议室，进行现场报价，迟到的报价将被拒绝。</w:t>
      </w:r>
    </w:p>
    <w:p w14:paraId="772948CD">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在报价时可不提供授权文件，但在中标后需提供这批货物的原厂家授权文件以及原厂保修证明文件。</w:t>
      </w:r>
    </w:p>
    <w:p w14:paraId="05DAE4BA">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b/>
          <w:sz w:val="24"/>
        </w:rPr>
        <w:t>报价文件中附报价货物的详细产品配置及彩图</w:t>
      </w:r>
      <w:r>
        <w:rPr>
          <w:rFonts w:hint="eastAsia"/>
          <w:bCs/>
          <w:sz w:val="24"/>
        </w:rPr>
        <w:t>。</w:t>
      </w:r>
    </w:p>
    <w:p w14:paraId="3985579D">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color w:val="FF0000"/>
          <w:kern w:val="0"/>
          <w:sz w:val="24"/>
        </w:rPr>
        <w:t>报价资料必须为电脑打印，除落款处签字为手写以外，其他内容手写作废</w:t>
      </w:r>
      <w:r>
        <w:rPr>
          <w:rFonts w:hint="eastAsia" w:cs="宋体"/>
          <w:kern w:val="0"/>
          <w:sz w:val="24"/>
        </w:rPr>
        <w:t>。</w:t>
      </w:r>
    </w:p>
    <w:p w14:paraId="4B7EE3AC">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报价为开票含税价，包含产品的生产、包装、运输、送货上门、人工搬运、安装、调试、开发票、保修期服务等一切费用，甲方不再另行支付任何费用。</w:t>
      </w:r>
    </w:p>
    <w:p w14:paraId="5DF11BD1">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hint="eastAsia" w:cs="宋体"/>
          <w:kern w:val="0"/>
          <w:sz w:val="24"/>
        </w:rPr>
      </w:pPr>
      <w:r>
        <w:rPr>
          <w:rFonts w:hint="eastAsia" w:cs="宋体"/>
          <w:kern w:val="0"/>
          <w:sz w:val="24"/>
        </w:rPr>
        <w:t>报价资料中必须包含所报物品的品牌、型号规格、技术参数等详细信息。并对到货时间、安装、调试及售后服务等进行承诺说明。所有物品必须为全新原装正品货物，货物包装为原厂包装、各项使用说明书及配套物品齐全，甲方收到货物后将进行逐项检查核对。</w:t>
      </w:r>
    </w:p>
    <w:p w14:paraId="05C51512">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报价金额以大写金额作为最终标准。</w:t>
      </w:r>
    </w:p>
    <w:p w14:paraId="74C5F57B">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采购人有权在报价开始前公布最高控制价。</w:t>
      </w:r>
    </w:p>
    <w:p w14:paraId="69675463">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供货地点：送货至厦门大学嘉庚学院指定位置。</w:t>
      </w:r>
    </w:p>
    <w:p w14:paraId="3C1D389A">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我校</w:t>
      </w:r>
      <w:r>
        <w:rPr>
          <w:rFonts w:cs="宋体"/>
          <w:kern w:val="0"/>
          <w:sz w:val="24"/>
        </w:rPr>
        <w:t>根据产品质量、规格、型号、技术参数、售后服务和价格等综合指标进行综合评议，选择我</w:t>
      </w:r>
      <w:r>
        <w:rPr>
          <w:rFonts w:hint="eastAsia" w:cs="宋体"/>
          <w:kern w:val="0"/>
          <w:sz w:val="24"/>
        </w:rPr>
        <w:t>校</w:t>
      </w:r>
      <w:r>
        <w:rPr>
          <w:rFonts w:cs="宋体"/>
          <w:kern w:val="0"/>
          <w:sz w:val="24"/>
        </w:rPr>
        <w:t>认为合适的</w:t>
      </w:r>
      <w:r>
        <w:rPr>
          <w:rFonts w:hint="eastAsia" w:cs="宋体"/>
          <w:kern w:val="0"/>
          <w:sz w:val="24"/>
        </w:rPr>
        <w:t>产品，不保证最低价中标</w:t>
      </w:r>
      <w:r>
        <w:rPr>
          <w:rFonts w:cs="宋体"/>
          <w:kern w:val="0"/>
          <w:sz w:val="24"/>
        </w:rPr>
        <w:t>。</w:t>
      </w:r>
    </w:p>
    <w:p w14:paraId="48112F3B">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保修期从验收合格之日起计算，</w:t>
      </w:r>
      <w:r>
        <w:rPr>
          <w:rFonts w:hint="eastAsia"/>
          <w:sz w:val="24"/>
        </w:rPr>
        <w:t>保修期至少五年</w:t>
      </w:r>
      <w:r>
        <w:rPr>
          <w:rFonts w:hint="eastAsia" w:cs="宋体"/>
          <w:kern w:val="0"/>
          <w:sz w:val="24"/>
        </w:rPr>
        <w:t>。</w:t>
      </w:r>
    </w:p>
    <w:p w14:paraId="564DC89E">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kern w:val="0"/>
          <w:sz w:val="24"/>
        </w:rPr>
        <w:t>付款方式：按照发票内容进行公对公银行转账。必须标明产品供货期和保修期。保修期有则注明，无则留空。对于留有保修期的货物，该货物所在的合同包总价超过2万元的，付款时预留合同包总价的5%作为售后服务保证金，保修期满后对保修期内乙方提供的售后服务和设备有无在修状况进行评比，评审通过则予以支付，否则予以扣留。如果没有保修期，则该合同包的货款一次性付清。提供合理的保修期或包退包换期将增加评比权重。</w:t>
      </w:r>
    </w:p>
    <w:p w14:paraId="01163B9B">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color w:val="000000"/>
          <w:kern w:val="0"/>
          <w:sz w:val="24"/>
        </w:rPr>
      </w:pPr>
      <w:r>
        <w:rPr>
          <w:rFonts w:hint="eastAsia" w:cs="宋体"/>
          <w:b/>
          <w:bCs/>
          <w:color w:val="000000"/>
          <w:kern w:val="0"/>
          <w:sz w:val="24"/>
        </w:rPr>
        <w:t>报价单位需于</w:t>
      </w:r>
      <w:r>
        <w:rPr>
          <w:rFonts w:hint="eastAsia" w:cs="宋体"/>
          <w:b/>
          <w:bCs/>
          <w:color w:val="000000"/>
          <w:kern w:val="0"/>
          <w:sz w:val="24"/>
          <w:lang w:val="en-US" w:eastAsia="zh-CN"/>
        </w:rPr>
        <w:t>2025年</w:t>
      </w:r>
      <w:r>
        <w:rPr>
          <w:rFonts w:hint="eastAsia" w:cs="宋体"/>
          <w:b/>
          <w:bCs/>
          <w:kern w:val="0"/>
          <w:sz w:val="24"/>
          <w:lang w:val="en-US" w:eastAsia="zh-CN"/>
        </w:rPr>
        <w:t>12</w:t>
      </w:r>
      <w:r>
        <w:rPr>
          <w:rFonts w:hint="eastAsia" w:cs="宋体"/>
          <w:b/>
          <w:bCs/>
          <w:kern w:val="0"/>
          <w:sz w:val="24"/>
        </w:rPr>
        <w:t>月</w:t>
      </w:r>
      <w:r>
        <w:rPr>
          <w:rFonts w:hint="eastAsia" w:cs="宋体"/>
          <w:b/>
          <w:bCs/>
          <w:kern w:val="0"/>
          <w:sz w:val="24"/>
          <w:lang w:val="en-US" w:eastAsia="zh-CN"/>
        </w:rPr>
        <w:t>1</w:t>
      </w:r>
      <w:r>
        <w:rPr>
          <w:rFonts w:hint="eastAsia" w:cs="宋体"/>
          <w:b/>
          <w:bCs/>
          <w:kern w:val="0"/>
          <w:sz w:val="24"/>
        </w:rPr>
        <w:t>日当日（14:00前）联系</w:t>
      </w:r>
      <w:r>
        <w:rPr>
          <w:rFonts w:hint="eastAsia" w:cs="宋体"/>
          <w:b/>
          <w:bCs/>
          <w:kern w:val="0"/>
          <w:sz w:val="24"/>
          <w:lang w:val="en-US" w:eastAsia="zh-CN"/>
        </w:rPr>
        <w:t>蔡</w:t>
      </w:r>
      <w:r>
        <w:rPr>
          <w:rFonts w:hint="eastAsia" w:cs="宋体"/>
          <w:b/>
          <w:bCs/>
          <w:color w:val="000000"/>
          <w:kern w:val="0"/>
          <w:sz w:val="24"/>
        </w:rPr>
        <w:t>老师进行入校报备，未报备者无法入校。</w:t>
      </w:r>
    </w:p>
    <w:p w14:paraId="1BFA8CB7">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spacing w:line="360" w:lineRule="auto"/>
        <w:ind w:left="0" w:leftChars="0" w:firstLine="0" w:firstLineChars="0"/>
        <w:textAlignment w:val="auto"/>
        <w:rPr>
          <w:rFonts w:cs="宋体"/>
          <w:kern w:val="0"/>
          <w:sz w:val="24"/>
        </w:rPr>
      </w:pPr>
      <w:r>
        <w:rPr>
          <w:rFonts w:hint="eastAsia" w:cs="宋体"/>
          <w:color w:val="000000"/>
          <w:kern w:val="0"/>
          <w:sz w:val="24"/>
        </w:rPr>
        <w:t>本次报价有效期为三个月。</w:t>
      </w:r>
    </w:p>
    <w:p w14:paraId="7A03EF6C">
      <w:pPr>
        <w:tabs>
          <w:tab w:val="left" w:pos="284"/>
        </w:tabs>
        <w:spacing w:line="400" w:lineRule="exact"/>
        <w:rPr>
          <w:rFonts w:cs="宋体"/>
          <w:color w:val="000000"/>
          <w:kern w:val="0"/>
          <w:sz w:val="24"/>
        </w:rPr>
      </w:pPr>
    </w:p>
    <w:p w14:paraId="4D136D44">
      <w:pPr>
        <w:tabs>
          <w:tab w:val="left" w:pos="284"/>
        </w:tabs>
        <w:spacing w:line="400" w:lineRule="exact"/>
        <w:rPr>
          <w:rFonts w:cs="宋体"/>
          <w:kern w:val="0"/>
          <w:sz w:val="24"/>
        </w:rPr>
      </w:pPr>
    </w:p>
    <w:p w14:paraId="75F50698">
      <w:pPr>
        <w:widowControl/>
        <w:spacing w:line="400" w:lineRule="exact"/>
        <w:ind w:left="420" w:right="240"/>
        <w:jc w:val="right"/>
        <w:rPr>
          <w:rFonts w:cs="宋体"/>
          <w:color w:val="000000"/>
          <w:kern w:val="0"/>
          <w:sz w:val="24"/>
        </w:rPr>
      </w:pPr>
      <w:r>
        <w:rPr>
          <w:rFonts w:hint="eastAsia" w:cs="宋体"/>
          <w:color w:val="000000"/>
          <w:kern w:val="0"/>
          <w:sz w:val="24"/>
        </w:rPr>
        <w:t>厦门大学嘉庚学院资产与后勤管理部</w:t>
      </w:r>
    </w:p>
    <w:p w14:paraId="3F2AC28B">
      <w:pPr>
        <w:widowControl/>
        <w:spacing w:line="400" w:lineRule="exact"/>
        <w:ind w:left="420" w:right="240"/>
        <w:jc w:val="right"/>
        <w:rPr>
          <w:rFonts w:cs="宋体"/>
          <w:color w:val="000000"/>
          <w:kern w:val="0"/>
          <w:sz w:val="24"/>
        </w:rPr>
      </w:pPr>
      <w:r>
        <w:rPr>
          <w:rFonts w:hint="eastAsia" w:cs="宋体"/>
          <w:color w:val="000000"/>
          <w:kern w:val="0"/>
          <w:sz w:val="24"/>
        </w:rPr>
        <w:t>2025年</w:t>
      </w:r>
      <w:r>
        <w:rPr>
          <w:rFonts w:hint="eastAsia" w:cs="宋体"/>
          <w:color w:val="000000"/>
          <w:kern w:val="0"/>
          <w:sz w:val="24"/>
          <w:lang w:val="en-US" w:eastAsia="zh-CN"/>
        </w:rPr>
        <w:t>11</w:t>
      </w:r>
      <w:bookmarkStart w:id="0" w:name="_GoBack"/>
      <w:bookmarkEnd w:id="0"/>
      <w:r>
        <w:rPr>
          <w:rFonts w:hint="eastAsia" w:cs="宋体"/>
          <w:color w:val="000000"/>
          <w:kern w:val="0"/>
          <w:sz w:val="24"/>
        </w:rPr>
        <w:t>月</w:t>
      </w:r>
      <w:r>
        <w:rPr>
          <w:rFonts w:hint="eastAsia" w:cs="宋体"/>
          <w:color w:val="000000"/>
          <w:kern w:val="0"/>
          <w:sz w:val="24"/>
          <w:lang w:val="en-US" w:eastAsia="zh-CN"/>
        </w:rPr>
        <w:t>20</w:t>
      </w:r>
      <w:r>
        <w:rPr>
          <w:rFonts w:hint="eastAsia" w:cs="宋体"/>
          <w:color w:val="000000"/>
          <w:kern w:val="0"/>
          <w:sz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8CC20"/>
    <w:multiLevelType w:val="singleLevel"/>
    <w:tmpl w:val="0238CC20"/>
    <w:lvl w:ilvl="0" w:tentative="0">
      <w:start w:val="1"/>
      <w:numFmt w:val="decimal"/>
      <w:lvlText w:val="%1."/>
      <w:lvlJc w:val="left"/>
      <w:pPr>
        <w:ind w:left="425" w:hanging="425"/>
      </w:pPr>
      <w:rPr>
        <w:rFonts w:hint="default"/>
      </w:rPr>
    </w:lvl>
  </w:abstractNum>
  <w:abstractNum w:abstractNumId="1">
    <w:nsid w:val="2A4E3BED"/>
    <w:multiLevelType w:val="multilevel"/>
    <w:tmpl w:val="2A4E3BED"/>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6F"/>
    <w:rsid w:val="00076280"/>
    <w:rsid w:val="001640AD"/>
    <w:rsid w:val="0029099E"/>
    <w:rsid w:val="002A6FFE"/>
    <w:rsid w:val="002D2DBD"/>
    <w:rsid w:val="00367897"/>
    <w:rsid w:val="003B7512"/>
    <w:rsid w:val="00457CD7"/>
    <w:rsid w:val="004F3D9A"/>
    <w:rsid w:val="005B7B57"/>
    <w:rsid w:val="005D2874"/>
    <w:rsid w:val="0061002D"/>
    <w:rsid w:val="00672CE4"/>
    <w:rsid w:val="00746A6C"/>
    <w:rsid w:val="007A757E"/>
    <w:rsid w:val="00925CF3"/>
    <w:rsid w:val="009652CE"/>
    <w:rsid w:val="00B92433"/>
    <w:rsid w:val="00BD4B0B"/>
    <w:rsid w:val="00C23741"/>
    <w:rsid w:val="00C5117F"/>
    <w:rsid w:val="00D66D6F"/>
    <w:rsid w:val="00D8669A"/>
    <w:rsid w:val="00E4038B"/>
    <w:rsid w:val="00E54ABB"/>
    <w:rsid w:val="00E74EEF"/>
    <w:rsid w:val="00F338B5"/>
    <w:rsid w:val="00F43C37"/>
    <w:rsid w:val="2FC43C84"/>
    <w:rsid w:val="3E145966"/>
    <w:rsid w:val="3F82085C"/>
    <w:rsid w:val="460E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00"/>
      <w:u w:val="none"/>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1212</Words>
  <Characters>1395</Characters>
  <Lines>84</Lines>
  <Paragraphs>23</Paragraphs>
  <TotalTime>7</TotalTime>
  <ScaleCrop>false</ScaleCrop>
  <LinksUpToDate>false</LinksUpToDate>
  <CharactersWithSpaces>1574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2025-06-11T05:13:00Z</dcterms:created>
  <dc:creator>Administrator</dc:creator>
  <cp:lastModifiedBy>浩浩浩</cp:lastModifiedBy>
  <dcterms:modified xsi:type="dcterms:W3CDTF">2025-11-20T03:25:20Z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eyJoZGlkIjoiY2M2NWIyNzliZjkyZDhjMzI1OWY3OWM5N2Y2YmJjNjYiLCJ1c2VySWQiOiIyMzU0MDkxMjMifQ==</vt:lpwstr>
  </property>
  <property fmtid="{D5CDD505-2E9C-101B-9397-08002B2CF9AE}" pid="3" name="KSOProductBuildVer">
    <vt:lpwstr>2052-12.1.0.23542</vt:lpwstr>
  </property>
  <property fmtid="{D5CDD505-2E9C-101B-9397-08002B2CF9AE}" pid="4" name="ICV">
    <vt:lpwstr>61347CC679CC4D8A8E5DA01D5F3A083A_13</vt:lpwstr>
  </property>
</Properties>
</file>